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5C" w:rsidRDefault="006214FF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>
        <w:rPr>
          <w:rFonts w:ascii="Xunta Sans" w:hAnsi="Xunta Sans"/>
          <w:b/>
          <w:i/>
          <w:sz w:val="20"/>
          <w:szCs w:val="20"/>
          <w:lang w:val="gl-ES"/>
        </w:rPr>
        <w:t>DECLARACIÓN RESPONSABLE DO CUMPRIMENTO DO PRINCIPIO DE NON CAUSAR PREXUÍZO SIGNIFICATIVO AO MEDIO AMBIENTE (PRINCIPIO “DO NO SIGNIFICANT HARM” – DNSH)</w:t>
      </w: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E26A5C">
        <w:trPr>
          <w:trHeight w:val="680"/>
        </w:trPr>
        <w:tc>
          <w:tcPr>
            <w:tcW w:w="2830" w:type="dxa"/>
            <w:vAlign w:val="center"/>
          </w:tcPr>
          <w:p w:rsidR="00E26A5C" w:rsidRDefault="006214FF">
            <w:pPr>
              <w:suppressAutoHyphens w:val="0"/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Denominación da co</w:t>
            </w: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n</w:t>
            </w: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vocatoria</w:t>
            </w:r>
          </w:p>
        </w:tc>
        <w:tc>
          <w:tcPr>
            <w:tcW w:w="5663" w:type="dxa"/>
            <w:vAlign w:val="center"/>
          </w:tcPr>
          <w:p w:rsidR="00E26A5C" w:rsidRDefault="006214FF" w:rsidP="0032655D">
            <w:pPr>
              <w:jc w:val="both"/>
              <w:rPr>
                <w:rFonts w:ascii="Xunta Sans" w:hAnsi="Xunta Sans"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i/>
                <w:lang w:val="gl-ES"/>
              </w:rPr>
              <w:t>Convocatoria para o ano 2024 de subvencións para proxectos singulares de mellora da sustentabilidade enerxética en empresas do se</w:t>
            </w:r>
            <w:r>
              <w:rPr>
                <w:rFonts w:ascii="Xunta Sans" w:eastAsia="Times New Roman" w:hAnsi="Xunta Sans" w:cs="Times New Roman"/>
                <w:i/>
                <w:lang w:val="gl-ES"/>
              </w:rPr>
              <w:t>c</w:t>
            </w:r>
            <w:r>
              <w:rPr>
                <w:rFonts w:ascii="Xunta Sans" w:eastAsia="Times New Roman" w:hAnsi="Xunta Sans" w:cs="Times New Roman"/>
                <w:i/>
                <w:lang w:val="gl-ES"/>
              </w:rPr>
              <w:t xml:space="preserve">tor industrial da provincia da Coruña, para o ano 2024, susceptibles de </w:t>
            </w:r>
            <w:proofErr w:type="spellStart"/>
            <w:r>
              <w:rPr>
                <w:rFonts w:ascii="Xunta Sans" w:eastAsia="Times New Roman" w:hAnsi="Xunta Sans" w:cs="Times New Roman"/>
                <w:i/>
                <w:lang w:val="gl-ES"/>
              </w:rPr>
              <w:t>cofinanciación</w:t>
            </w:r>
            <w:proofErr w:type="spellEnd"/>
            <w:r>
              <w:rPr>
                <w:rFonts w:ascii="Xunta Sans" w:eastAsia="Times New Roman" w:hAnsi="Xunta Sans" w:cs="Times New Roman"/>
                <w:i/>
                <w:lang w:val="gl-ES"/>
              </w:rPr>
              <w:t xml:space="preserve"> pola Unión Europea no marco do Programa do Fondo de Transición Xusta de España 2021-2027 (código de procedemento IN421J)</w:t>
            </w:r>
            <w:bookmarkStart w:id="0" w:name="_GoBack"/>
            <w:bookmarkEnd w:id="0"/>
          </w:p>
        </w:tc>
      </w:tr>
      <w:tr w:rsidR="00E26A5C">
        <w:trPr>
          <w:trHeight w:val="680"/>
        </w:trPr>
        <w:tc>
          <w:tcPr>
            <w:tcW w:w="2830" w:type="dxa"/>
            <w:vAlign w:val="center"/>
          </w:tcPr>
          <w:p w:rsidR="00E26A5C" w:rsidRDefault="006214FF">
            <w:pPr>
              <w:suppressAutoHyphens w:val="0"/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Obxectivo político</w:t>
            </w:r>
          </w:p>
        </w:tc>
        <w:tc>
          <w:tcPr>
            <w:tcW w:w="5663" w:type="dxa"/>
            <w:vAlign w:val="center"/>
          </w:tcPr>
          <w:p w:rsidR="00E26A5C" w:rsidRDefault="006214FF" w:rsidP="0032655D">
            <w:pPr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i/>
                <w:lang w:val="gl-ES"/>
              </w:rPr>
              <w:t xml:space="preserve">8. Facer posible que as rexións e as persoas afronten as repercusión socias, laborais, económicas e ambientais da transición cara aos obxectivos da Unión para 2030 en materia de enerxía e clima e unha economía da Unión </w:t>
            </w:r>
            <w:proofErr w:type="spellStart"/>
            <w:r>
              <w:rPr>
                <w:rFonts w:ascii="Xunta Sans" w:eastAsia="Times New Roman" w:hAnsi="Xunta Sans" w:cs="Times New Roman"/>
                <w:i/>
                <w:lang w:val="gl-ES"/>
              </w:rPr>
              <w:t>climáticamente</w:t>
            </w:r>
            <w:proofErr w:type="spellEnd"/>
            <w:r>
              <w:rPr>
                <w:rFonts w:ascii="Xunta Sans" w:eastAsia="Times New Roman" w:hAnsi="Xunta Sans" w:cs="Times New Roman"/>
                <w:i/>
                <w:lang w:val="gl-ES"/>
              </w:rPr>
              <w:t xml:space="preserve"> neutra de aquí a 2050, con arranxo ao Acordo de París.</w:t>
            </w:r>
          </w:p>
        </w:tc>
      </w:tr>
      <w:tr w:rsidR="00E26A5C">
        <w:trPr>
          <w:trHeight w:val="680"/>
        </w:trPr>
        <w:tc>
          <w:tcPr>
            <w:tcW w:w="2830" w:type="dxa"/>
            <w:vAlign w:val="center"/>
          </w:tcPr>
          <w:p w:rsidR="00E26A5C" w:rsidRDefault="006214FF">
            <w:pPr>
              <w:suppressAutoHyphens w:val="0"/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Obxectivo específico</w:t>
            </w:r>
          </w:p>
        </w:tc>
        <w:tc>
          <w:tcPr>
            <w:tcW w:w="5663" w:type="dxa"/>
            <w:vAlign w:val="center"/>
          </w:tcPr>
          <w:p w:rsidR="00E26A5C" w:rsidRDefault="006214FF" w:rsidP="0032655D">
            <w:pPr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i/>
                <w:lang w:val="gl-ES"/>
              </w:rPr>
              <w:t xml:space="preserve">JSO8.1. Facer posible que as rexións e as persoas afronten as repercusión socias, laborais, económicas e ambientais da transición cara aos obxectivos da Unión para 2030 en materia de enerxía e clima e unha economía da Unión </w:t>
            </w:r>
            <w:proofErr w:type="spellStart"/>
            <w:r>
              <w:rPr>
                <w:rFonts w:ascii="Xunta Sans" w:eastAsia="Times New Roman" w:hAnsi="Xunta Sans" w:cs="Times New Roman"/>
                <w:i/>
                <w:lang w:val="gl-ES"/>
              </w:rPr>
              <w:t>climáticamente</w:t>
            </w:r>
            <w:proofErr w:type="spellEnd"/>
            <w:r>
              <w:rPr>
                <w:rFonts w:ascii="Xunta Sans" w:eastAsia="Times New Roman" w:hAnsi="Xunta Sans" w:cs="Times New Roman"/>
                <w:i/>
                <w:lang w:val="gl-ES"/>
              </w:rPr>
              <w:t xml:space="preserve"> neutra de aquí a 2050, con arranxo ao Acordo de París</w:t>
            </w:r>
          </w:p>
        </w:tc>
      </w:tr>
      <w:tr w:rsidR="00E26A5C">
        <w:trPr>
          <w:trHeight w:val="680"/>
        </w:trPr>
        <w:tc>
          <w:tcPr>
            <w:tcW w:w="2830" w:type="dxa"/>
            <w:vAlign w:val="center"/>
          </w:tcPr>
          <w:p w:rsidR="00E26A5C" w:rsidRDefault="006214FF">
            <w:pPr>
              <w:suppressAutoHyphens w:val="0"/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Operación prevista</w:t>
            </w:r>
          </w:p>
        </w:tc>
        <w:tc>
          <w:tcPr>
            <w:tcW w:w="5663" w:type="dxa"/>
            <w:vAlign w:val="center"/>
          </w:tcPr>
          <w:p w:rsidR="00E26A5C" w:rsidRDefault="006214FF" w:rsidP="0032655D">
            <w:pPr>
              <w:spacing w:before="60" w:after="60" w:line="240" w:lineRule="auto"/>
              <w:rPr>
                <w:rFonts w:ascii="Xunta Sans" w:hAnsi="Xunta Sans" w:cs="Arial"/>
                <w:i/>
                <w:lang w:val="gl-ES"/>
              </w:rPr>
            </w:pPr>
            <w:r>
              <w:rPr>
                <w:rFonts w:ascii="Xunta Sans" w:eastAsia="Times New Roman" w:hAnsi="Xunta Sans" w:cs="Arial"/>
                <w:i/>
                <w:lang w:val="gl-ES"/>
              </w:rPr>
              <w:t>CO1. Transformación ecolóxica da industria e fomento da mobilidade sostible, a economía circular e a eficiencia enerxética</w:t>
            </w:r>
          </w:p>
        </w:tc>
      </w:tr>
      <w:tr w:rsidR="00E26A5C">
        <w:trPr>
          <w:trHeight w:val="680"/>
        </w:trPr>
        <w:tc>
          <w:tcPr>
            <w:tcW w:w="2830" w:type="dxa"/>
            <w:vAlign w:val="center"/>
          </w:tcPr>
          <w:p w:rsidR="00E26A5C" w:rsidRDefault="006214FF">
            <w:pPr>
              <w:suppressAutoHyphens w:val="0"/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Ámbito de interve</w:t>
            </w: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n</w:t>
            </w:r>
            <w:r>
              <w:rPr>
                <w:rFonts w:ascii="Xunta Sans" w:eastAsia="Times New Roman" w:hAnsi="Xunta Sans" w:cs="Times New Roman"/>
                <w:b/>
                <w:i/>
                <w:lang w:val="gl-ES"/>
              </w:rPr>
              <w:t>ción</w:t>
            </w:r>
          </w:p>
        </w:tc>
        <w:tc>
          <w:tcPr>
            <w:tcW w:w="5663" w:type="dxa"/>
            <w:vAlign w:val="center"/>
          </w:tcPr>
          <w:p w:rsidR="00E26A5C" w:rsidRDefault="006214FF" w:rsidP="0032655D">
            <w:pPr>
              <w:jc w:val="both"/>
              <w:rPr>
                <w:rFonts w:ascii="Xunta Sans" w:hAnsi="Xunta Sans" w:cs="Arial"/>
                <w:i/>
                <w:lang w:val="gl-ES"/>
              </w:rPr>
            </w:pPr>
            <w:r>
              <w:rPr>
                <w:rFonts w:ascii="Xunta Sans" w:eastAsia="Times New Roman" w:hAnsi="Xunta Sans" w:cs="Arial"/>
                <w:i/>
                <w:lang w:val="gl-ES"/>
              </w:rPr>
              <w:t xml:space="preserve">TI0038. Eficiencia enerxética e proxectos de demostración en </w:t>
            </w:r>
            <w:proofErr w:type="spellStart"/>
            <w:r>
              <w:rPr>
                <w:rFonts w:ascii="Xunta Sans" w:eastAsia="Times New Roman" w:hAnsi="Xunta Sans" w:cs="Arial"/>
                <w:i/>
                <w:lang w:val="gl-ES"/>
              </w:rPr>
              <w:t>pemes</w:t>
            </w:r>
            <w:proofErr w:type="spellEnd"/>
            <w:r>
              <w:rPr>
                <w:rFonts w:ascii="Xunta Sans" w:eastAsia="Times New Roman" w:hAnsi="Xunta Sans" w:cs="Arial"/>
                <w:i/>
                <w:lang w:val="gl-ES"/>
              </w:rPr>
              <w:t xml:space="preserve"> e medidas de apoio.</w:t>
            </w:r>
          </w:p>
          <w:p w:rsidR="00E26A5C" w:rsidRDefault="006214FF" w:rsidP="0032655D">
            <w:pPr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eastAsia="Times New Roman" w:hAnsi="Xunta Sans" w:cs="Arial"/>
                <w:i/>
                <w:lang w:val="gl-ES"/>
              </w:rPr>
              <w:t xml:space="preserve">TI0040. Eficiencia enerxética e proxectos de demostración en </w:t>
            </w:r>
            <w:proofErr w:type="spellStart"/>
            <w:r>
              <w:rPr>
                <w:rFonts w:ascii="Xunta Sans" w:eastAsia="Times New Roman" w:hAnsi="Xunta Sans" w:cs="Arial"/>
                <w:i/>
                <w:lang w:val="gl-ES"/>
              </w:rPr>
              <w:t>pemes</w:t>
            </w:r>
            <w:proofErr w:type="spellEnd"/>
            <w:r>
              <w:rPr>
                <w:rFonts w:ascii="Xunta Sans" w:eastAsia="Times New Roman" w:hAnsi="Xunta Sans" w:cs="Arial"/>
                <w:i/>
                <w:lang w:val="gl-ES"/>
              </w:rPr>
              <w:t xml:space="preserve"> ou grandes empresas e medidas de apoio conforme cos criterios de eficiencia enerxética.</w:t>
            </w:r>
          </w:p>
        </w:tc>
      </w:tr>
    </w:tbl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D./Dª.................................................................................................................................., con NIF........................................, por si mesmo/a ou en representación da entidade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calidade de ..............................................................., </w:t>
      </w:r>
    </w:p>
    <w:p w:rsidR="00E26A5C" w:rsidRDefault="00E26A5C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E26A5C" w:rsidRDefault="006214FF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>
        <w:rPr>
          <w:rFonts w:ascii="Xunta Sans" w:hAnsi="Xunta Sans"/>
          <w:b/>
          <w:i/>
          <w:sz w:val="20"/>
          <w:szCs w:val="20"/>
          <w:lang w:val="gl-ES"/>
        </w:rPr>
        <w:lastRenderedPageBreak/>
        <w:t>DECLARA BAIXO A SÚA RESPONSABILIDADE</w:t>
      </w: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Que, co obxecto de garantir o cumprimento do principio de non causar un prexuízo significativo ao medio ambiente (principio “do no </w:t>
      </w:r>
      <w:proofErr w:type="spellStart"/>
      <w:r>
        <w:rPr>
          <w:rFonts w:ascii="Xunta Sans" w:hAnsi="Xunta Sans"/>
          <w:i/>
          <w:sz w:val="20"/>
          <w:szCs w:val="20"/>
          <w:lang w:val="gl-ES"/>
        </w:rPr>
        <w:t>significant</w:t>
      </w:r>
      <w:proofErr w:type="spellEnd"/>
      <w:r>
        <w:rPr>
          <w:rFonts w:ascii="Xunta Sans" w:hAnsi="Xunta Sans"/>
          <w:i/>
          <w:sz w:val="20"/>
          <w:szCs w:val="20"/>
          <w:lang w:val="gl-ES"/>
        </w:rPr>
        <w:t xml:space="preserve"> </w:t>
      </w:r>
      <w:proofErr w:type="spellStart"/>
      <w:r>
        <w:rPr>
          <w:rFonts w:ascii="Xunta Sans" w:hAnsi="Xunta Sans"/>
          <w:i/>
          <w:sz w:val="20"/>
          <w:szCs w:val="20"/>
          <w:lang w:val="gl-ES"/>
        </w:rPr>
        <w:t>harm</w:t>
      </w:r>
      <w:proofErr w:type="spellEnd"/>
      <w:r>
        <w:rPr>
          <w:rFonts w:ascii="Xunta Sans" w:hAnsi="Xunta Sans"/>
          <w:i/>
          <w:sz w:val="20"/>
          <w:szCs w:val="20"/>
          <w:lang w:val="gl-ES"/>
        </w:rPr>
        <w:t>” – DNSH), cumprirá as seguintes condicións:</w:t>
      </w: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6214FF">
      <w:pPr>
        <w:pStyle w:val="Prrafodelista"/>
        <w:numPr>
          <w:ilvl w:val="0"/>
          <w:numId w:val="1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As actividades obxecto de subvención non ocasionarán un prexuízo significativo aos seguintes obxectivos ambientais, no sentido do artigo 17 do Regulamento (UE) 2020/852 relativo ao establecemento dun marco para facilitar os investimentos sostibles e polo que se modifica o Regulamento (UE) 2019/2088: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• Mitigación do cambio climático.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• Adaptación ao cambio climático.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• Uso sostible e protección dos recursos hídricos e mariños.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• Economía circular, incluídos a prevención e a reciclaxe de residuos.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• Prevención e control da contaminación á atmosfera, a auga ou o chan.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• Protección e restauración da </w:t>
      </w:r>
      <w:proofErr w:type="spellStart"/>
      <w:r>
        <w:rPr>
          <w:rFonts w:ascii="Xunta Sans" w:hAnsi="Xunta Sans"/>
          <w:i/>
          <w:sz w:val="20"/>
          <w:szCs w:val="20"/>
          <w:lang w:val="gl-ES"/>
        </w:rPr>
        <w:t>biodiversidade</w:t>
      </w:r>
      <w:proofErr w:type="spellEnd"/>
      <w:r>
        <w:rPr>
          <w:rFonts w:ascii="Xunta Sans" w:hAnsi="Xunta Sans"/>
          <w:i/>
          <w:sz w:val="20"/>
          <w:szCs w:val="20"/>
          <w:lang w:val="gl-ES"/>
        </w:rPr>
        <w:t xml:space="preserve"> e os ecosistemas.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b)</w:t>
      </w:r>
      <w:r>
        <w:rPr>
          <w:rFonts w:ascii="Xunta Sans" w:hAnsi="Xunta Sans"/>
          <w:i/>
          <w:sz w:val="20"/>
          <w:szCs w:val="20"/>
          <w:lang w:val="gl-ES"/>
        </w:rPr>
        <w:tab/>
        <w:t xml:space="preserve">As actividades obxecto de subvención cumprirán a normativa ambiental vixente que resulte de aplicación.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c)</w:t>
      </w:r>
      <w:r>
        <w:rPr>
          <w:rFonts w:ascii="Xunta Sans" w:hAnsi="Xunta Sans"/>
          <w:i/>
          <w:sz w:val="20"/>
          <w:szCs w:val="20"/>
          <w:lang w:val="gl-ES"/>
        </w:rPr>
        <w:tab/>
        <w:t xml:space="preserve">As actividades que se desenvolverán non causan efectos directos sobre o medio ambiente, nin efectos indirectos primarios en todo o seu ciclo de vida, entendendo como tales aqueles que puidesen materializarse tras a súa finalización, unha vez realizada a actividade.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d)</w:t>
      </w:r>
      <w:r>
        <w:rPr>
          <w:rFonts w:ascii="Xunta Sans" w:hAnsi="Xunta Sans"/>
          <w:i/>
          <w:sz w:val="20"/>
          <w:szCs w:val="20"/>
          <w:lang w:val="gl-ES"/>
        </w:rPr>
        <w:tab/>
        <w:t xml:space="preserve">Cumprirá todo o indicado nas bases reguladoras da convocatoria da subvención relativo á aplicación do principio de non causar un prexuízo significativo ao medio ambiente. </w:t>
      </w: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 xml:space="preserve">E para que conste, asina a presente declaración. </w:t>
      </w:r>
    </w:p>
    <w:p w:rsidR="00E26A5C" w:rsidRDefault="006214FF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</w:t>
      </w:r>
    </w:p>
    <w:p w:rsidR="00E26A5C" w:rsidRDefault="00E26A5C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E26A5C" w:rsidRDefault="00E26A5C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E26A5C" w:rsidRDefault="00E26A5C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E26A5C" w:rsidRDefault="00E26A5C">
      <w:pPr>
        <w:rPr>
          <w:lang w:val="gl-ES"/>
        </w:rPr>
      </w:pPr>
    </w:p>
    <w:sectPr w:rsidR="00E26A5C">
      <w:headerReference w:type="default" r:id="rId11"/>
      <w:pgSz w:w="11906" w:h="16838"/>
      <w:pgMar w:top="1819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1C" w:rsidRDefault="006214FF">
      <w:pPr>
        <w:spacing w:after="0" w:line="240" w:lineRule="auto"/>
      </w:pPr>
      <w:r>
        <w:separator/>
      </w:r>
    </w:p>
  </w:endnote>
  <w:endnote w:type="continuationSeparator" w:id="0">
    <w:p w:rsidR="0064291C" w:rsidRDefault="0062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Liberation Mono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1C" w:rsidRDefault="006214FF">
      <w:pPr>
        <w:spacing w:after="0" w:line="240" w:lineRule="auto"/>
      </w:pPr>
      <w:r>
        <w:separator/>
      </w:r>
    </w:p>
  </w:footnote>
  <w:footnote w:type="continuationSeparator" w:id="0">
    <w:p w:rsidR="0064291C" w:rsidRDefault="0062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5C" w:rsidRDefault="006214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7" behindDoc="1" locked="0" layoutInCell="0" allowOverlap="1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</w:t>
    </w:r>
    <w:r>
      <w:rPr>
        <w:noProof/>
        <w:lang w:eastAsia="es-ES"/>
      </w:rPr>
      <w:drawing>
        <wp:inline distT="0" distB="0" distL="0" distR="0">
          <wp:extent cx="1624965" cy="3517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es-ES"/>
      </w:rPr>
      <w:drawing>
        <wp:inline distT="0" distB="0" distL="0" distR="0">
          <wp:extent cx="1657350" cy="350520"/>
          <wp:effectExtent l="0" t="0" r="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669"/>
    <w:multiLevelType w:val="multilevel"/>
    <w:tmpl w:val="53289A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ED9030D"/>
    <w:multiLevelType w:val="multilevel"/>
    <w:tmpl w:val="52341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5C"/>
    <w:rsid w:val="001A603F"/>
    <w:rsid w:val="0032655D"/>
    <w:rsid w:val="006214FF"/>
    <w:rsid w:val="0064291C"/>
    <w:rsid w:val="00E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53E5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53E5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8067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8067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80670"/>
    <w:rPr>
      <w:b/>
      <w:bCs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8067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80670"/>
    <w:rPr>
      <w:b/>
      <w:bCs/>
    </w:rPr>
  </w:style>
  <w:style w:type="table" w:styleId="Tablaconcuadrcula">
    <w:name w:val="Table Grid"/>
    <w:basedOn w:val="Tablanormal"/>
    <w:rsid w:val="003D1D47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587</Words>
  <Characters>3229</Characters>
  <Application>Microsoft Office Word</Application>
  <DocSecurity>0</DocSecurity>
  <Lines>26</Lines>
  <Paragraphs>7</Paragraphs>
  <ScaleCrop>false</ScaleCrop>
  <Company>Consellería de Facenda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Cacheiro Villamisar, Iván</dc:creator>
  <dc:description/>
  <cp:lastModifiedBy>Mariajesus</cp:lastModifiedBy>
  <cp:revision>10</cp:revision>
  <dcterms:created xsi:type="dcterms:W3CDTF">2024-02-22T08:04:00Z</dcterms:created>
  <dcterms:modified xsi:type="dcterms:W3CDTF">2024-05-07T09:15:00Z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